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22CC" w:rsidRPr="001C56B3" w:rsidRDefault="009F22CC" w:rsidP="009F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9"/>
        <w:rPr>
          <w:iCs/>
          <w:spacing w:val="2"/>
          <w:sz w:val="24"/>
          <w:szCs w:val="24"/>
          <w:highlight w:val="cyan"/>
          <w:shd w:val="clear" w:color="auto" w:fill="FFFFFF"/>
          <w:lang w:val="kk-KZ"/>
        </w:rPr>
      </w:pPr>
      <w:r w:rsidRPr="00842A5B">
        <w:rPr>
          <w:b/>
          <w:iCs/>
          <w:spacing w:val="2"/>
          <w:sz w:val="24"/>
          <w:szCs w:val="24"/>
          <w:highlight w:val="cyan"/>
          <w:shd w:val="clear" w:color="auto" w:fill="FFFFFF"/>
          <w:lang w:val="kk-KZ"/>
        </w:rPr>
        <w:t>-4,9-сынып оқушыларының 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бойынша оқыту нәтижелерін бағалау</w:t>
      </w:r>
      <w:r w:rsidRPr="00BB34E4">
        <w:rPr>
          <w:iCs/>
          <w:spacing w:val="2"/>
          <w:sz w:val="24"/>
          <w:szCs w:val="24"/>
          <w:highlight w:val="cyan"/>
          <w:shd w:val="clear" w:color="auto" w:fill="FFFFFF"/>
          <w:lang w:val="kk-KZ"/>
        </w:rPr>
        <w:t>.</w:t>
      </w:r>
    </w:p>
    <w:p w:rsidR="009F22CC" w:rsidRDefault="009F22CC" w:rsidP="009F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24"/>
          <w:szCs w:val="24"/>
          <w:highlight w:val="cyan"/>
          <w:lang w:val="kk-KZ"/>
        </w:rPr>
      </w:pPr>
      <w:r w:rsidRPr="001C56B3">
        <w:rPr>
          <w:iCs/>
          <w:spacing w:val="2"/>
          <w:szCs w:val="24"/>
          <w:highlight w:val="cyan"/>
          <w:shd w:val="clear" w:color="auto" w:fill="FFFFFF"/>
          <w:lang w:val="kk-KZ"/>
        </w:rPr>
        <w:t>1.2024-2025 оқу жылы мектепте 4-сыныпта 19 оқушы оқиды,тиісті білім беру деңгейінің мемлекеттік жалпы білім беру стандартының талаптарында көзделген білім берудің күтілетін нәтижелерін және білім беретін оқу бағдарламаларын игерудің жетістіктерін айқындау үшін алынған тестілеуге 18 оқушы қатысты,1 оқушы тестке  қатыспады, анықтамасы берілді.</w:t>
      </w:r>
      <w:r>
        <w:rPr>
          <w:iCs/>
          <w:spacing w:val="2"/>
          <w:szCs w:val="24"/>
          <w:highlight w:val="cyan"/>
          <w:shd w:val="clear" w:color="auto" w:fill="FFFFFF"/>
          <w:lang w:val="kk-KZ"/>
        </w:rPr>
        <w:t xml:space="preserve"> Анықтамада көрсетілгендей </w:t>
      </w:r>
      <w:r w:rsidRPr="001233FB">
        <w:rPr>
          <w:highlight w:val="cyan"/>
          <w:lang w:val="kk-KZ"/>
        </w:rPr>
        <w:t>4-сынып оқушысы  Аділбек Адема Бахтиярқызы</w:t>
      </w:r>
      <w:r>
        <w:rPr>
          <w:highlight w:val="cyan"/>
          <w:lang w:val="kk-KZ"/>
        </w:rPr>
        <w:t xml:space="preserve">на </w:t>
      </w:r>
      <w:r w:rsidRPr="001233FB">
        <w:rPr>
          <w:sz w:val="24"/>
          <w:szCs w:val="24"/>
          <w:highlight w:val="cyan"/>
          <w:lang w:val="kk-KZ"/>
        </w:rPr>
        <w:t xml:space="preserve"> «Психикалық дамуында тежелу, сөйлеу бұзылыстары/ 3-деңгейдегі жалпы сөйлеуінің дамымағандығы»</w:t>
      </w:r>
      <w:r>
        <w:rPr>
          <w:sz w:val="24"/>
          <w:szCs w:val="24"/>
          <w:highlight w:val="cyan"/>
          <w:lang w:val="kk-KZ"/>
        </w:rPr>
        <w:t xml:space="preserve"> деген </w:t>
      </w:r>
      <w:r w:rsidRPr="001233FB">
        <w:rPr>
          <w:sz w:val="24"/>
          <w:szCs w:val="24"/>
          <w:highlight w:val="cyan"/>
          <w:lang w:val="kk-KZ"/>
        </w:rPr>
        <w:t xml:space="preserve"> </w:t>
      </w:r>
      <w:r w:rsidRPr="001233FB">
        <w:rPr>
          <w:highlight w:val="cyan"/>
          <w:lang w:val="kk-KZ"/>
        </w:rPr>
        <w:t xml:space="preserve">ПМПК </w:t>
      </w:r>
      <w:r>
        <w:rPr>
          <w:highlight w:val="cyan"/>
          <w:lang w:val="kk-KZ"/>
        </w:rPr>
        <w:t>шешімі берілгендіктен тестілеуден босатылды.</w:t>
      </w:r>
    </w:p>
    <w:p w:rsidR="009F22CC" w:rsidRPr="00EB72AD" w:rsidRDefault="009F22CC" w:rsidP="009F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Cs/>
          <w:spacing w:val="2"/>
          <w:szCs w:val="24"/>
          <w:highlight w:val="cyan"/>
          <w:shd w:val="clear" w:color="auto" w:fill="FFFFFF"/>
          <w:lang w:val="kk-KZ"/>
        </w:rPr>
      </w:pPr>
      <w:r w:rsidRPr="004067D9">
        <w:rPr>
          <w:highlight w:val="cyan"/>
          <w:lang w:val="kk-KZ"/>
        </w:rPr>
        <w:t xml:space="preserve"> Оқыту нәтижесін бағалауға жататын белгілі бір білім беру деңгейі контингентінің жалпы тізімдік құрамынан (деңгейді жазу) білім алушылардың </w:t>
      </w:r>
      <w:r>
        <w:rPr>
          <w:highlight w:val="cyan"/>
          <w:lang w:val="kk-KZ"/>
        </w:rPr>
        <w:t>95</w:t>
      </w:r>
      <w:r w:rsidRPr="004067D9">
        <w:rPr>
          <w:highlight w:val="cyan"/>
          <w:lang w:val="kk-KZ"/>
        </w:rPr>
        <w:t>% кешенді тестілеуге қатысты.</w:t>
      </w:r>
    </w:p>
    <w:p w:rsidR="009F22CC" w:rsidRDefault="009F22CC" w:rsidP="009F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highlight w:val="cyan"/>
          <w:lang w:val="kk-KZ"/>
        </w:rPr>
      </w:pPr>
      <w:r>
        <w:rPr>
          <w:iCs/>
          <w:spacing w:val="2"/>
          <w:szCs w:val="24"/>
          <w:highlight w:val="cyan"/>
          <w:shd w:val="clear" w:color="auto" w:fill="FFFFFF"/>
          <w:lang w:val="kk-KZ"/>
        </w:rPr>
        <w:t>9-сыныптарда барлығы 32 оқушы оқиды,тестілеуге 32 оқушы толық қатысты.</w:t>
      </w:r>
      <w:r w:rsidRPr="004067D9">
        <w:rPr>
          <w:highlight w:val="cyan"/>
          <w:lang w:val="kk-KZ"/>
        </w:rPr>
        <w:t>Оқыту нәтижесін бағалауға жататын белгілі бір білім беру деңгейі контингентінің жалпы тізімдік құрамынан (деңгейді жазу) білім алушылардың 100% кешенді тестілеуге қатысты.</w:t>
      </w:r>
    </w:p>
    <w:p w:rsidR="009F22CC" w:rsidRPr="001233FB" w:rsidRDefault="009F22CC" w:rsidP="009F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highlight w:val="cyan"/>
          <w:lang w:val="kk-KZ"/>
        </w:rPr>
      </w:pPr>
    </w:p>
    <w:tbl>
      <w:tblPr>
        <w:tblW w:w="10095" w:type="dxa"/>
        <w:jc w:val="center"/>
        <w:tblLayout w:type="fixed"/>
        <w:tblLook w:val="04A0" w:firstRow="1" w:lastRow="0" w:firstColumn="1" w:lastColumn="0" w:noHBand="0" w:noVBand="1"/>
      </w:tblPr>
      <w:tblGrid>
        <w:gridCol w:w="468"/>
        <w:gridCol w:w="1260"/>
        <w:gridCol w:w="1530"/>
        <w:gridCol w:w="2012"/>
        <w:gridCol w:w="1799"/>
        <w:gridCol w:w="3026"/>
      </w:tblGrid>
      <w:tr w:rsidR="009F22CC" w:rsidRPr="00B3601E" w:rsidTr="007E1412">
        <w:trPr>
          <w:trHeight w:val="439"/>
          <w:jc w:val="center"/>
        </w:trPr>
        <w:tc>
          <w:tcPr>
            <w:tcW w:w="468" w:type="dxa"/>
            <w:vMerge w:val="restart"/>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rFonts w:eastAsia="Calibri"/>
                <w:b/>
                <w:sz w:val="20"/>
                <w:szCs w:val="20"/>
                <w:highlight w:val="cyan"/>
                <w:lang w:val="kk-KZ" w:eastAsia="ru-RU"/>
              </w:rPr>
            </w:pPr>
            <w:r w:rsidRPr="005D71A3">
              <w:rPr>
                <w:rFonts w:eastAsia="Calibri"/>
                <w:b/>
                <w:sz w:val="20"/>
                <w:szCs w:val="20"/>
                <w:highlight w:val="cyan"/>
                <w:lang w:val="kk-KZ" w:eastAsia="ru-RU"/>
              </w:rPr>
              <w:t>№</w:t>
            </w:r>
          </w:p>
        </w:tc>
        <w:tc>
          <w:tcPr>
            <w:tcW w:w="1260" w:type="dxa"/>
            <w:vMerge w:val="restart"/>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rFonts w:eastAsia="Calibri"/>
                <w:b/>
                <w:sz w:val="20"/>
                <w:szCs w:val="20"/>
                <w:highlight w:val="cyan"/>
                <w:lang w:val="kk-KZ" w:eastAsia="ru-RU"/>
              </w:rPr>
            </w:pPr>
            <w:r w:rsidRPr="005D71A3">
              <w:rPr>
                <w:rFonts w:eastAsia="Calibri"/>
                <w:b/>
                <w:sz w:val="20"/>
                <w:szCs w:val="20"/>
                <w:highlight w:val="cyan"/>
                <w:lang w:val="kk-KZ" w:eastAsia="ru-RU"/>
              </w:rPr>
              <w:t>Сыныбы</w:t>
            </w:r>
          </w:p>
        </w:tc>
        <w:tc>
          <w:tcPr>
            <w:tcW w:w="1530" w:type="dxa"/>
            <w:vMerge w:val="restart"/>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rFonts w:eastAsia="Calibri"/>
                <w:b/>
                <w:sz w:val="20"/>
                <w:szCs w:val="20"/>
                <w:highlight w:val="cyan"/>
                <w:lang w:val="kk-KZ" w:eastAsia="ru-RU"/>
              </w:rPr>
            </w:pPr>
            <w:r w:rsidRPr="005D71A3">
              <w:rPr>
                <w:rFonts w:eastAsia="Calibri"/>
                <w:b/>
                <w:sz w:val="20"/>
                <w:szCs w:val="20"/>
                <w:highlight w:val="cyan"/>
                <w:lang w:val="kk-KZ" w:eastAsia="ru-RU"/>
              </w:rPr>
              <w:t>Барлық оқушылар саны</w:t>
            </w:r>
          </w:p>
        </w:tc>
        <w:tc>
          <w:tcPr>
            <w:tcW w:w="2013" w:type="dxa"/>
            <w:vMerge w:val="restart"/>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rFonts w:eastAsia="Calibri"/>
                <w:b/>
                <w:sz w:val="20"/>
                <w:szCs w:val="20"/>
                <w:highlight w:val="cyan"/>
                <w:lang w:val="kk-KZ" w:eastAsia="ru-RU"/>
              </w:rPr>
            </w:pPr>
            <w:r w:rsidRPr="005D71A3">
              <w:rPr>
                <w:rFonts w:eastAsia="Calibri"/>
                <w:b/>
                <w:sz w:val="20"/>
                <w:szCs w:val="20"/>
                <w:highlight w:val="cyan"/>
                <w:lang w:val="kk-KZ" w:eastAsia="ru-RU"/>
              </w:rPr>
              <w:t xml:space="preserve">Қатысқандар саны </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rFonts w:eastAsia="Calibri"/>
                <w:b/>
                <w:sz w:val="20"/>
                <w:szCs w:val="20"/>
                <w:highlight w:val="cyan"/>
                <w:lang w:val="kk-KZ" w:eastAsia="ru-RU"/>
              </w:rPr>
            </w:pPr>
            <w:r w:rsidRPr="005D71A3">
              <w:rPr>
                <w:rFonts w:eastAsia="Calibri"/>
                <w:b/>
                <w:sz w:val="20"/>
                <w:szCs w:val="20"/>
                <w:highlight w:val="cyan"/>
                <w:lang w:val="kk-KZ" w:eastAsia="ru-RU"/>
              </w:rPr>
              <w:t>Қатысқандардың үлесі%</w:t>
            </w:r>
          </w:p>
        </w:tc>
        <w:tc>
          <w:tcPr>
            <w:tcW w:w="3027" w:type="dxa"/>
            <w:vMerge w:val="restart"/>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rFonts w:eastAsia="Calibri"/>
                <w:b/>
                <w:sz w:val="20"/>
                <w:szCs w:val="20"/>
                <w:highlight w:val="cyan"/>
                <w:lang w:val="kk-KZ" w:eastAsia="ru-RU"/>
              </w:rPr>
            </w:pPr>
            <w:r w:rsidRPr="005D71A3">
              <w:rPr>
                <w:rFonts w:eastAsia="Calibri"/>
                <w:b/>
                <w:sz w:val="20"/>
                <w:szCs w:val="20"/>
                <w:highlight w:val="cyan"/>
                <w:lang w:val="kk-KZ" w:eastAsia="ru-RU"/>
              </w:rPr>
              <w:t>Оң нәтижелердің үлесі</w:t>
            </w:r>
          </w:p>
        </w:tc>
      </w:tr>
      <w:tr w:rsidR="009F22CC" w:rsidRPr="00B3601E" w:rsidTr="007E1412">
        <w:trPr>
          <w:trHeight w:val="433"/>
          <w:jc w:val="center"/>
        </w:trPr>
        <w:tc>
          <w:tcPr>
            <w:tcW w:w="468" w:type="dxa"/>
            <w:vMerge/>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spacing w:after="0" w:line="240" w:lineRule="auto"/>
              <w:rPr>
                <w:rFonts w:eastAsia="Calibri"/>
                <w:sz w:val="20"/>
                <w:szCs w:val="20"/>
                <w:highlight w:val="cyan"/>
                <w:lang w:val="kk-KZ" w:eastAsia="ru-RU"/>
              </w:rPr>
            </w:pPr>
          </w:p>
        </w:tc>
        <w:tc>
          <w:tcPr>
            <w:tcW w:w="1260" w:type="dxa"/>
            <w:vMerge/>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spacing w:after="0" w:line="240" w:lineRule="auto"/>
              <w:rPr>
                <w:rFonts w:eastAsia="Calibri"/>
                <w:sz w:val="20"/>
                <w:szCs w:val="20"/>
                <w:highlight w:val="cyan"/>
                <w:lang w:val="kk-KZ" w:eastAsia="ru-RU"/>
              </w:rPr>
            </w:pPr>
          </w:p>
        </w:tc>
        <w:tc>
          <w:tcPr>
            <w:tcW w:w="1530" w:type="dxa"/>
            <w:vMerge/>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spacing w:after="0" w:line="240" w:lineRule="auto"/>
              <w:rPr>
                <w:rFonts w:eastAsia="Calibri"/>
                <w:sz w:val="20"/>
                <w:szCs w:val="20"/>
                <w:highlight w:val="cyan"/>
                <w:lang w:val="kk-KZ" w:eastAsia="ru-RU"/>
              </w:rPr>
            </w:pPr>
          </w:p>
        </w:tc>
        <w:tc>
          <w:tcPr>
            <w:tcW w:w="2013" w:type="dxa"/>
            <w:vMerge/>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spacing w:after="0" w:line="240" w:lineRule="auto"/>
              <w:rPr>
                <w:rFonts w:eastAsia="Calibri"/>
                <w:sz w:val="20"/>
                <w:szCs w:val="20"/>
                <w:highlight w:val="cyan"/>
                <w:lang w:val="kk-KZ" w:eastAsia="ru-RU"/>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spacing w:after="0" w:line="240" w:lineRule="auto"/>
              <w:rPr>
                <w:rFonts w:eastAsia="Calibri"/>
                <w:sz w:val="20"/>
                <w:szCs w:val="20"/>
                <w:highlight w:val="cyan"/>
                <w:lang w:val="kk-KZ" w:eastAsia="ru-RU"/>
              </w:rPr>
            </w:pPr>
          </w:p>
        </w:tc>
        <w:tc>
          <w:tcPr>
            <w:tcW w:w="3027" w:type="dxa"/>
            <w:vMerge/>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spacing w:after="0" w:line="240" w:lineRule="auto"/>
              <w:rPr>
                <w:rFonts w:eastAsia="Calibri"/>
                <w:sz w:val="20"/>
                <w:szCs w:val="20"/>
                <w:highlight w:val="cyan"/>
                <w:lang w:val="kk-KZ" w:eastAsia="ru-RU"/>
              </w:rPr>
            </w:pPr>
          </w:p>
        </w:tc>
      </w:tr>
      <w:tr w:rsidR="009F22CC" w:rsidRPr="00B3601E" w:rsidTr="007E1412">
        <w:trPr>
          <w:trHeight w:val="222"/>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sz w:val="20"/>
                <w:szCs w:val="20"/>
                <w:highlight w:val="cyan"/>
                <w:lang w:val="kk-KZ"/>
              </w:rPr>
            </w:pPr>
            <w:r w:rsidRPr="005D71A3">
              <w:rPr>
                <w:sz w:val="20"/>
                <w:szCs w:val="20"/>
                <w:highlight w:val="cyan"/>
                <w:lang w:val="kk-KZ"/>
              </w:rP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sz w:val="20"/>
                <w:szCs w:val="20"/>
                <w:highlight w:val="cyan"/>
                <w:lang w:val="kk-KZ"/>
              </w:rPr>
            </w:pPr>
            <w:r w:rsidRPr="005D71A3">
              <w:rPr>
                <w:sz w:val="20"/>
                <w:szCs w:val="20"/>
                <w:highlight w:val="cyan"/>
                <w:lang w:val="kk-KZ"/>
              </w:rPr>
              <w:t xml:space="preserve">4 </w:t>
            </w:r>
          </w:p>
        </w:tc>
        <w:tc>
          <w:tcPr>
            <w:tcW w:w="1530" w:type="dxa"/>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sz w:val="20"/>
                <w:szCs w:val="20"/>
                <w:highlight w:val="cyan"/>
                <w:lang w:val="kk-KZ"/>
              </w:rPr>
            </w:pPr>
            <w:r w:rsidRPr="005D71A3">
              <w:rPr>
                <w:sz w:val="20"/>
                <w:szCs w:val="20"/>
                <w:highlight w:val="cyan"/>
                <w:lang w:val="kk-KZ"/>
              </w:rPr>
              <w:t>19</w:t>
            </w:r>
          </w:p>
        </w:tc>
        <w:tc>
          <w:tcPr>
            <w:tcW w:w="2013" w:type="dxa"/>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sz w:val="20"/>
                <w:szCs w:val="20"/>
                <w:highlight w:val="cyan"/>
                <w:lang w:val="kk-KZ"/>
              </w:rPr>
            </w:pPr>
            <w:r w:rsidRPr="005D71A3">
              <w:rPr>
                <w:sz w:val="20"/>
                <w:szCs w:val="20"/>
                <w:highlight w:val="cyan"/>
                <w:lang w:val="kk-KZ"/>
              </w:rPr>
              <w:t>18</w:t>
            </w:r>
          </w:p>
        </w:tc>
        <w:tc>
          <w:tcPr>
            <w:tcW w:w="1800" w:type="dxa"/>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sz w:val="20"/>
                <w:szCs w:val="20"/>
                <w:highlight w:val="cyan"/>
                <w:lang w:val="kk-KZ"/>
              </w:rPr>
            </w:pPr>
            <w:r w:rsidRPr="001233FB">
              <w:rPr>
                <w:sz w:val="20"/>
                <w:szCs w:val="20"/>
                <w:highlight w:val="cyan"/>
                <w:lang w:val="kk-KZ"/>
              </w:rPr>
              <w:t>95</w:t>
            </w:r>
            <w:r w:rsidRPr="005D71A3">
              <w:rPr>
                <w:sz w:val="20"/>
                <w:szCs w:val="20"/>
                <w:highlight w:val="cyan"/>
                <w:lang w:val="kk-KZ"/>
              </w:rPr>
              <w:t>%</w:t>
            </w:r>
          </w:p>
        </w:tc>
        <w:tc>
          <w:tcPr>
            <w:tcW w:w="3027" w:type="dxa"/>
            <w:tcBorders>
              <w:top w:val="single" w:sz="4" w:space="0" w:color="000000"/>
              <w:left w:val="single" w:sz="4" w:space="0" w:color="000000"/>
              <w:bottom w:val="single" w:sz="4" w:space="0" w:color="000000"/>
              <w:right w:val="single" w:sz="4" w:space="0" w:color="000000"/>
            </w:tcBorders>
          </w:tcPr>
          <w:p w:rsidR="009F22CC" w:rsidRPr="001233FB" w:rsidRDefault="009F22CC" w:rsidP="007E1412">
            <w:pPr>
              <w:autoSpaceDE w:val="0"/>
              <w:autoSpaceDN w:val="0"/>
              <w:adjustRightInd w:val="0"/>
              <w:spacing w:after="0" w:line="240" w:lineRule="auto"/>
              <w:jc w:val="center"/>
              <w:rPr>
                <w:sz w:val="20"/>
                <w:szCs w:val="20"/>
                <w:highlight w:val="cyan"/>
                <w:lang w:val="kk-KZ"/>
              </w:rPr>
            </w:pPr>
            <w:r w:rsidRPr="001233FB">
              <w:rPr>
                <w:sz w:val="20"/>
                <w:szCs w:val="20"/>
                <w:highlight w:val="cyan"/>
                <w:lang w:val="kk-KZ"/>
              </w:rPr>
              <w:t>100</w:t>
            </w:r>
          </w:p>
        </w:tc>
      </w:tr>
      <w:tr w:rsidR="009F22CC" w:rsidRPr="00B3601E" w:rsidTr="007E1412">
        <w:trPr>
          <w:trHeight w:val="222"/>
          <w:jc w:val="center"/>
        </w:trPr>
        <w:tc>
          <w:tcPr>
            <w:tcW w:w="468" w:type="dxa"/>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sz w:val="20"/>
                <w:szCs w:val="20"/>
                <w:highlight w:val="cyan"/>
                <w:lang w:val="kk-KZ"/>
              </w:rPr>
            </w:pPr>
            <w:r w:rsidRPr="005D71A3">
              <w:rPr>
                <w:sz w:val="20"/>
                <w:szCs w:val="20"/>
                <w:highlight w:val="cyan"/>
                <w:lang w:val="kk-KZ"/>
              </w:rPr>
              <w:t>2</w:t>
            </w:r>
          </w:p>
        </w:tc>
        <w:tc>
          <w:tcPr>
            <w:tcW w:w="1260" w:type="dxa"/>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sz w:val="20"/>
                <w:szCs w:val="20"/>
                <w:highlight w:val="cyan"/>
                <w:lang w:val="kk-KZ"/>
              </w:rPr>
            </w:pPr>
            <w:r w:rsidRPr="005D71A3">
              <w:rPr>
                <w:sz w:val="20"/>
                <w:szCs w:val="20"/>
                <w:highlight w:val="cyan"/>
                <w:lang w:val="kk-KZ"/>
              </w:rPr>
              <w:t>9</w:t>
            </w:r>
          </w:p>
        </w:tc>
        <w:tc>
          <w:tcPr>
            <w:tcW w:w="1530" w:type="dxa"/>
            <w:tcBorders>
              <w:top w:val="single" w:sz="4" w:space="0" w:color="000000"/>
              <w:left w:val="single" w:sz="4" w:space="0" w:color="000000"/>
              <w:bottom w:val="single" w:sz="4" w:space="0" w:color="000000"/>
              <w:right w:val="single" w:sz="4" w:space="0" w:color="000000"/>
            </w:tcBorders>
            <w:vAlign w:val="center"/>
          </w:tcPr>
          <w:p w:rsidR="009F22CC" w:rsidRPr="001233FB" w:rsidRDefault="009F22CC" w:rsidP="007E1412">
            <w:pPr>
              <w:autoSpaceDE w:val="0"/>
              <w:autoSpaceDN w:val="0"/>
              <w:adjustRightInd w:val="0"/>
              <w:spacing w:after="0" w:line="240" w:lineRule="auto"/>
              <w:jc w:val="center"/>
              <w:rPr>
                <w:sz w:val="20"/>
                <w:szCs w:val="20"/>
                <w:highlight w:val="cyan"/>
                <w:lang w:val="kk-KZ"/>
              </w:rPr>
            </w:pPr>
            <w:r w:rsidRPr="001233FB">
              <w:rPr>
                <w:sz w:val="20"/>
                <w:szCs w:val="20"/>
                <w:highlight w:val="cyan"/>
                <w:lang w:val="kk-KZ"/>
              </w:rPr>
              <w:t>32</w:t>
            </w:r>
          </w:p>
        </w:tc>
        <w:tc>
          <w:tcPr>
            <w:tcW w:w="2013" w:type="dxa"/>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sz w:val="20"/>
                <w:szCs w:val="20"/>
                <w:highlight w:val="cyan"/>
                <w:lang w:val="kk-KZ"/>
              </w:rPr>
            </w:pPr>
            <w:r w:rsidRPr="005D71A3">
              <w:rPr>
                <w:sz w:val="20"/>
                <w:szCs w:val="20"/>
                <w:highlight w:val="cyan"/>
                <w:lang w:val="kk-KZ"/>
              </w:rPr>
              <w:t>32</w:t>
            </w:r>
          </w:p>
        </w:tc>
        <w:tc>
          <w:tcPr>
            <w:tcW w:w="1800" w:type="dxa"/>
            <w:tcBorders>
              <w:top w:val="single" w:sz="4" w:space="0" w:color="000000"/>
              <w:left w:val="single" w:sz="4" w:space="0" w:color="000000"/>
              <w:bottom w:val="single" w:sz="4" w:space="0" w:color="000000"/>
              <w:right w:val="single" w:sz="4" w:space="0" w:color="000000"/>
            </w:tcBorders>
            <w:vAlign w:val="center"/>
          </w:tcPr>
          <w:p w:rsidR="009F22CC" w:rsidRPr="005D71A3" w:rsidRDefault="009F22CC" w:rsidP="007E1412">
            <w:pPr>
              <w:autoSpaceDE w:val="0"/>
              <w:autoSpaceDN w:val="0"/>
              <w:adjustRightInd w:val="0"/>
              <w:spacing w:after="0" w:line="240" w:lineRule="auto"/>
              <w:jc w:val="center"/>
              <w:rPr>
                <w:sz w:val="20"/>
                <w:szCs w:val="20"/>
                <w:highlight w:val="cyan"/>
                <w:lang w:val="kk-KZ"/>
              </w:rPr>
            </w:pPr>
            <w:r w:rsidRPr="005D71A3">
              <w:rPr>
                <w:sz w:val="20"/>
                <w:szCs w:val="20"/>
                <w:highlight w:val="cyan"/>
                <w:lang w:val="kk-KZ"/>
              </w:rPr>
              <w:t>100 %</w:t>
            </w:r>
          </w:p>
        </w:tc>
        <w:tc>
          <w:tcPr>
            <w:tcW w:w="3027" w:type="dxa"/>
            <w:tcBorders>
              <w:top w:val="single" w:sz="4" w:space="0" w:color="000000"/>
              <w:left w:val="single" w:sz="4" w:space="0" w:color="000000"/>
              <w:bottom w:val="single" w:sz="4" w:space="0" w:color="000000"/>
              <w:right w:val="single" w:sz="4" w:space="0" w:color="000000"/>
            </w:tcBorders>
          </w:tcPr>
          <w:p w:rsidR="009F22CC" w:rsidRPr="001233FB" w:rsidRDefault="009F22CC" w:rsidP="007E1412">
            <w:pPr>
              <w:autoSpaceDE w:val="0"/>
              <w:autoSpaceDN w:val="0"/>
              <w:adjustRightInd w:val="0"/>
              <w:spacing w:after="0" w:line="240" w:lineRule="auto"/>
              <w:jc w:val="center"/>
              <w:rPr>
                <w:sz w:val="20"/>
                <w:szCs w:val="20"/>
                <w:highlight w:val="cyan"/>
                <w:lang w:val="kk-KZ"/>
              </w:rPr>
            </w:pPr>
            <w:r w:rsidRPr="001233FB">
              <w:rPr>
                <w:sz w:val="20"/>
                <w:szCs w:val="20"/>
                <w:highlight w:val="cyan"/>
                <w:lang w:val="kk-KZ"/>
              </w:rPr>
              <w:t>100</w:t>
            </w:r>
          </w:p>
        </w:tc>
      </w:tr>
    </w:tbl>
    <w:p w:rsidR="009F22CC" w:rsidRPr="001233FB" w:rsidRDefault="009F22CC" w:rsidP="009F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Cs/>
          <w:spacing w:val="2"/>
          <w:sz w:val="24"/>
          <w:szCs w:val="24"/>
          <w:highlight w:val="cyan"/>
          <w:shd w:val="clear" w:color="auto" w:fill="FFFFFF"/>
          <w:lang w:val="kk-KZ"/>
        </w:rPr>
      </w:pPr>
    </w:p>
    <w:p w:rsidR="009F22CC" w:rsidRPr="001233FB" w:rsidRDefault="009F22CC" w:rsidP="009F22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Cs/>
          <w:spacing w:val="2"/>
          <w:sz w:val="24"/>
          <w:szCs w:val="24"/>
          <w:highlight w:val="cyan"/>
          <w:shd w:val="clear" w:color="auto" w:fill="FFFFFF"/>
          <w:lang w:val="kk-KZ"/>
        </w:rPr>
      </w:pPr>
    </w:p>
    <w:tbl>
      <w:tblPr>
        <w:tblStyle w:val="a8"/>
        <w:tblW w:w="9947" w:type="dxa"/>
        <w:tblLayout w:type="fixed"/>
        <w:tblLook w:val="04A0" w:firstRow="1" w:lastRow="0" w:firstColumn="1" w:lastColumn="0" w:noHBand="0" w:noVBand="1"/>
      </w:tblPr>
      <w:tblGrid>
        <w:gridCol w:w="460"/>
        <w:gridCol w:w="1418"/>
        <w:gridCol w:w="1407"/>
        <w:gridCol w:w="1559"/>
        <w:gridCol w:w="850"/>
        <w:gridCol w:w="851"/>
        <w:gridCol w:w="709"/>
        <w:gridCol w:w="708"/>
        <w:gridCol w:w="993"/>
        <w:gridCol w:w="992"/>
      </w:tblGrid>
      <w:tr w:rsidR="009F22CC" w:rsidRPr="00B3601E" w:rsidTr="007E1412">
        <w:trPr>
          <w:trHeight w:val="445"/>
        </w:trPr>
        <w:tc>
          <w:tcPr>
            <w:tcW w:w="460" w:type="dxa"/>
          </w:tcPr>
          <w:p w:rsidR="009F22CC" w:rsidRPr="001233FB" w:rsidRDefault="009F22CC" w:rsidP="007E1412">
            <w:pPr>
              <w:spacing w:after="0" w:line="240" w:lineRule="auto"/>
              <w:rPr>
                <w:b/>
                <w:sz w:val="20"/>
                <w:highlight w:val="cyan"/>
                <w:lang w:val="kk-KZ"/>
              </w:rPr>
            </w:pPr>
            <w:r w:rsidRPr="001233FB">
              <w:rPr>
                <w:b/>
                <w:sz w:val="20"/>
                <w:highlight w:val="cyan"/>
                <w:lang w:val="kk-KZ"/>
              </w:rPr>
              <w:t>№</w:t>
            </w:r>
          </w:p>
        </w:tc>
        <w:tc>
          <w:tcPr>
            <w:tcW w:w="1418" w:type="dxa"/>
          </w:tcPr>
          <w:p w:rsidR="009F22CC" w:rsidRPr="001233FB" w:rsidRDefault="009F22CC" w:rsidP="007E1412">
            <w:pPr>
              <w:spacing w:after="0"/>
              <w:rPr>
                <w:b/>
                <w:sz w:val="20"/>
                <w:highlight w:val="cyan"/>
                <w:lang w:val="kk-KZ"/>
              </w:rPr>
            </w:pPr>
            <w:r w:rsidRPr="001233FB">
              <w:rPr>
                <w:b/>
                <w:sz w:val="20"/>
                <w:highlight w:val="cyan"/>
                <w:lang w:val="kk-KZ"/>
              </w:rPr>
              <w:t>сынып</w:t>
            </w:r>
          </w:p>
        </w:tc>
        <w:tc>
          <w:tcPr>
            <w:tcW w:w="1407" w:type="dxa"/>
          </w:tcPr>
          <w:p w:rsidR="009F22CC" w:rsidRPr="001233FB" w:rsidRDefault="009F22CC" w:rsidP="007E1412">
            <w:pPr>
              <w:spacing w:after="0"/>
              <w:rPr>
                <w:b/>
                <w:sz w:val="20"/>
                <w:highlight w:val="cyan"/>
                <w:lang w:val="kk-KZ"/>
              </w:rPr>
            </w:pPr>
            <w:r w:rsidRPr="001233FB">
              <w:rPr>
                <w:b/>
                <w:sz w:val="20"/>
                <w:highlight w:val="cyan"/>
                <w:lang w:val="kk-KZ"/>
              </w:rPr>
              <w:t>Журнал бойынша оқушылар саны</w:t>
            </w:r>
          </w:p>
        </w:tc>
        <w:tc>
          <w:tcPr>
            <w:tcW w:w="1559" w:type="dxa"/>
          </w:tcPr>
          <w:p w:rsidR="009F22CC" w:rsidRPr="001233FB" w:rsidRDefault="009F22CC" w:rsidP="007E1412">
            <w:pPr>
              <w:spacing w:after="0"/>
              <w:rPr>
                <w:b/>
                <w:sz w:val="20"/>
                <w:highlight w:val="cyan"/>
                <w:lang w:val="kk-KZ"/>
              </w:rPr>
            </w:pPr>
            <w:r w:rsidRPr="001233FB">
              <w:rPr>
                <w:b/>
                <w:sz w:val="20"/>
                <w:highlight w:val="cyan"/>
                <w:lang w:val="kk-KZ"/>
              </w:rPr>
              <w:t>Қатысқан оқушылардың нақты саны</w:t>
            </w:r>
          </w:p>
        </w:tc>
        <w:tc>
          <w:tcPr>
            <w:tcW w:w="850" w:type="dxa"/>
          </w:tcPr>
          <w:p w:rsidR="009F22CC" w:rsidRPr="001233FB" w:rsidRDefault="009F22CC" w:rsidP="007E1412">
            <w:pPr>
              <w:spacing w:after="0"/>
              <w:rPr>
                <w:b/>
                <w:sz w:val="20"/>
                <w:highlight w:val="cyan"/>
                <w:lang w:val="kk-KZ"/>
              </w:rPr>
            </w:pPr>
            <w:r w:rsidRPr="001233FB">
              <w:rPr>
                <w:b/>
                <w:sz w:val="20"/>
                <w:highlight w:val="cyan"/>
                <w:lang w:val="kk-KZ"/>
              </w:rPr>
              <w:t>«5»</w:t>
            </w:r>
          </w:p>
          <w:p w:rsidR="009F22CC" w:rsidRPr="001233FB" w:rsidRDefault="009F22CC" w:rsidP="007E1412">
            <w:pPr>
              <w:spacing w:after="0"/>
              <w:rPr>
                <w:b/>
                <w:sz w:val="20"/>
                <w:highlight w:val="cyan"/>
                <w:lang w:val="kk-KZ"/>
              </w:rPr>
            </w:pPr>
            <w:r w:rsidRPr="001233FB">
              <w:rPr>
                <w:b/>
                <w:sz w:val="20"/>
                <w:highlight w:val="cyan"/>
                <w:lang w:val="kk-KZ"/>
              </w:rPr>
              <w:t>баға саны</w:t>
            </w:r>
          </w:p>
        </w:tc>
        <w:tc>
          <w:tcPr>
            <w:tcW w:w="851" w:type="dxa"/>
          </w:tcPr>
          <w:p w:rsidR="009F22CC" w:rsidRPr="001233FB" w:rsidRDefault="009F22CC" w:rsidP="007E1412">
            <w:pPr>
              <w:spacing w:after="0" w:line="240" w:lineRule="auto"/>
              <w:rPr>
                <w:b/>
                <w:sz w:val="20"/>
                <w:highlight w:val="cyan"/>
                <w:lang w:val="kk-KZ"/>
              </w:rPr>
            </w:pPr>
            <w:r w:rsidRPr="001233FB">
              <w:rPr>
                <w:b/>
                <w:sz w:val="20"/>
                <w:highlight w:val="cyan"/>
                <w:lang w:val="kk-KZ"/>
              </w:rPr>
              <w:t>«4»</w:t>
            </w:r>
          </w:p>
          <w:p w:rsidR="009F22CC" w:rsidRPr="001233FB" w:rsidRDefault="009F22CC" w:rsidP="007E1412">
            <w:pPr>
              <w:spacing w:after="0" w:line="240" w:lineRule="auto"/>
              <w:rPr>
                <w:b/>
                <w:sz w:val="20"/>
                <w:highlight w:val="cyan"/>
                <w:lang w:val="kk-KZ"/>
              </w:rPr>
            </w:pPr>
            <w:r w:rsidRPr="001233FB">
              <w:rPr>
                <w:b/>
                <w:sz w:val="20"/>
                <w:highlight w:val="cyan"/>
                <w:lang w:val="kk-KZ"/>
              </w:rPr>
              <w:t>баға саны</w:t>
            </w:r>
          </w:p>
        </w:tc>
        <w:tc>
          <w:tcPr>
            <w:tcW w:w="709" w:type="dxa"/>
          </w:tcPr>
          <w:p w:rsidR="009F22CC" w:rsidRPr="001233FB" w:rsidRDefault="009F22CC" w:rsidP="007E1412">
            <w:pPr>
              <w:spacing w:after="0" w:line="240" w:lineRule="auto"/>
              <w:rPr>
                <w:b/>
                <w:sz w:val="20"/>
                <w:highlight w:val="cyan"/>
                <w:lang w:val="kk-KZ"/>
              </w:rPr>
            </w:pPr>
            <w:r w:rsidRPr="001233FB">
              <w:rPr>
                <w:b/>
                <w:sz w:val="20"/>
                <w:highlight w:val="cyan"/>
                <w:lang w:val="kk-KZ"/>
              </w:rPr>
              <w:t>«3»</w:t>
            </w:r>
          </w:p>
          <w:p w:rsidR="009F22CC" w:rsidRPr="005D71A3" w:rsidRDefault="009F22CC" w:rsidP="007E1412">
            <w:pPr>
              <w:spacing w:after="0" w:line="240" w:lineRule="auto"/>
              <w:rPr>
                <w:b/>
                <w:sz w:val="20"/>
                <w:highlight w:val="cyan"/>
                <w:lang w:val="kk-KZ"/>
              </w:rPr>
            </w:pPr>
            <w:r w:rsidRPr="001233FB">
              <w:rPr>
                <w:b/>
                <w:sz w:val="20"/>
                <w:highlight w:val="cyan"/>
                <w:lang w:val="kk-KZ"/>
              </w:rPr>
              <w:t>баға саны</w:t>
            </w:r>
          </w:p>
        </w:tc>
        <w:tc>
          <w:tcPr>
            <w:tcW w:w="708" w:type="dxa"/>
          </w:tcPr>
          <w:p w:rsidR="009F22CC" w:rsidRPr="001233FB" w:rsidRDefault="009F22CC" w:rsidP="007E1412">
            <w:pPr>
              <w:spacing w:after="0" w:line="240" w:lineRule="auto"/>
              <w:rPr>
                <w:b/>
                <w:sz w:val="20"/>
                <w:highlight w:val="cyan"/>
                <w:lang w:val="kk-KZ"/>
              </w:rPr>
            </w:pPr>
            <w:r w:rsidRPr="001233FB">
              <w:rPr>
                <w:b/>
                <w:sz w:val="20"/>
                <w:highlight w:val="cyan"/>
                <w:lang w:val="kk-KZ"/>
              </w:rPr>
              <w:t>«2»</w:t>
            </w:r>
          </w:p>
          <w:p w:rsidR="009F22CC" w:rsidRPr="005D71A3" w:rsidRDefault="009F22CC" w:rsidP="007E1412">
            <w:pPr>
              <w:spacing w:after="0" w:line="240" w:lineRule="auto"/>
              <w:rPr>
                <w:b/>
                <w:sz w:val="20"/>
                <w:highlight w:val="cyan"/>
                <w:lang w:val="kk-KZ"/>
              </w:rPr>
            </w:pPr>
            <w:r w:rsidRPr="001233FB">
              <w:rPr>
                <w:b/>
                <w:sz w:val="20"/>
                <w:highlight w:val="cyan"/>
                <w:lang w:val="kk-KZ"/>
              </w:rPr>
              <w:t>баға саны</w:t>
            </w:r>
          </w:p>
        </w:tc>
        <w:tc>
          <w:tcPr>
            <w:tcW w:w="993" w:type="dxa"/>
          </w:tcPr>
          <w:p w:rsidR="009F22CC" w:rsidRPr="001233FB" w:rsidRDefault="009F22CC" w:rsidP="007E1412">
            <w:pPr>
              <w:spacing w:after="0"/>
              <w:rPr>
                <w:b/>
                <w:sz w:val="20"/>
                <w:highlight w:val="cyan"/>
                <w:lang w:val="kk-KZ"/>
              </w:rPr>
            </w:pPr>
            <w:r w:rsidRPr="001233FB">
              <w:rPr>
                <w:b/>
                <w:sz w:val="20"/>
                <w:highlight w:val="cyan"/>
                <w:lang w:val="kk-KZ"/>
              </w:rPr>
              <w:t>Орташа балл</w:t>
            </w:r>
          </w:p>
        </w:tc>
        <w:tc>
          <w:tcPr>
            <w:tcW w:w="992" w:type="dxa"/>
          </w:tcPr>
          <w:p w:rsidR="009F22CC" w:rsidRPr="001233FB" w:rsidRDefault="009F22CC" w:rsidP="007E1412">
            <w:pPr>
              <w:spacing w:after="0"/>
              <w:rPr>
                <w:b/>
                <w:sz w:val="20"/>
                <w:highlight w:val="cyan"/>
                <w:lang w:val="kk-KZ"/>
              </w:rPr>
            </w:pPr>
            <w:r w:rsidRPr="001233FB">
              <w:rPr>
                <w:b/>
                <w:sz w:val="20"/>
                <w:highlight w:val="cyan"/>
                <w:lang w:val="kk-KZ"/>
              </w:rPr>
              <w:t>Оң бағалар%</w:t>
            </w:r>
          </w:p>
        </w:tc>
      </w:tr>
      <w:tr w:rsidR="009F22CC" w:rsidRPr="00B3601E" w:rsidTr="007E1412">
        <w:trPr>
          <w:trHeight w:val="316"/>
        </w:trPr>
        <w:tc>
          <w:tcPr>
            <w:tcW w:w="460" w:type="dxa"/>
          </w:tcPr>
          <w:p w:rsidR="009F22CC" w:rsidRPr="005D71A3" w:rsidRDefault="009F22CC" w:rsidP="007E1412">
            <w:pPr>
              <w:spacing w:after="0" w:line="240" w:lineRule="auto"/>
              <w:rPr>
                <w:sz w:val="20"/>
                <w:highlight w:val="cyan"/>
                <w:lang w:val="kk-KZ"/>
              </w:rPr>
            </w:pPr>
            <w:r w:rsidRPr="005D71A3">
              <w:rPr>
                <w:sz w:val="20"/>
                <w:highlight w:val="cyan"/>
                <w:lang w:val="kk-KZ"/>
              </w:rPr>
              <w:t>1</w:t>
            </w:r>
          </w:p>
        </w:tc>
        <w:tc>
          <w:tcPr>
            <w:tcW w:w="1418" w:type="dxa"/>
          </w:tcPr>
          <w:p w:rsidR="009F22CC" w:rsidRPr="005D71A3" w:rsidRDefault="009F22CC" w:rsidP="007E1412">
            <w:pPr>
              <w:spacing w:after="0"/>
              <w:rPr>
                <w:sz w:val="20"/>
                <w:highlight w:val="cyan"/>
                <w:lang w:val="kk-KZ"/>
              </w:rPr>
            </w:pPr>
            <w:r w:rsidRPr="005D71A3">
              <w:rPr>
                <w:sz w:val="20"/>
                <w:highlight w:val="cyan"/>
                <w:lang w:val="kk-KZ"/>
              </w:rPr>
              <w:t>4-сынып</w:t>
            </w:r>
          </w:p>
        </w:tc>
        <w:tc>
          <w:tcPr>
            <w:tcW w:w="1407" w:type="dxa"/>
          </w:tcPr>
          <w:p w:rsidR="009F22CC" w:rsidRPr="005D71A3" w:rsidRDefault="009F22CC" w:rsidP="007E1412">
            <w:pPr>
              <w:spacing w:after="0"/>
              <w:rPr>
                <w:sz w:val="20"/>
                <w:highlight w:val="cyan"/>
                <w:lang w:val="kk-KZ"/>
              </w:rPr>
            </w:pPr>
            <w:r w:rsidRPr="005D71A3">
              <w:rPr>
                <w:sz w:val="20"/>
                <w:highlight w:val="cyan"/>
                <w:lang w:val="kk-KZ"/>
              </w:rPr>
              <w:t>19</w:t>
            </w:r>
          </w:p>
        </w:tc>
        <w:tc>
          <w:tcPr>
            <w:tcW w:w="1559" w:type="dxa"/>
          </w:tcPr>
          <w:p w:rsidR="009F22CC" w:rsidRPr="005D71A3" w:rsidRDefault="009F22CC" w:rsidP="007E1412">
            <w:pPr>
              <w:spacing w:after="0"/>
              <w:rPr>
                <w:sz w:val="20"/>
                <w:highlight w:val="cyan"/>
                <w:lang w:val="kk-KZ"/>
              </w:rPr>
            </w:pPr>
            <w:r w:rsidRPr="005D71A3">
              <w:rPr>
                <w:sz w:val="20"/>
                <w:highlight w:val="cyan"/>
                <w:lang w:val="kk-KZ"/>
              </w:rPr>
              <w:t>18</w:t>
            </w:r>
          </w:p>
        </w:tc>
        <w:tc>
          <w:tcPr>
            <w:tcW w:w="850" w:type="dxa"/>
          </w:tcPr>
          <w:p w:rsidR="009F22CC" w:rsidRPr="005D71A3" w:rsidRDefault="009F22CC" w:rsidP="007E1412">
            <w:pPr>
              <w:spacing w:after="0"/>
              <w:rPr>
                <w:sz w:val="20"/>
                <w:highlight w:val="cyan"/>
                <w:lang w:val="kk-KZ"/>
              </w:rPr>
            </w:pPr>
            <w:r w:rsidRPr="005D71A3">
              <w:rPr>
                <w:sz w:val="20"/>
                <w:highlight w:val="cyan"/>
                <w:lang w:val="kk-KZ"/>
              </w:rPr>
              <w:t>6</w:t>
            </w:r>
          </w:p>
        </w:tc>
        <w:tc>
          <w:tcPr>
            <w:tcW w:w="851" w:type="dxa"/>
          </w:tcPr>
          <w:p w:rsidR="009F22CC" w:rsidRPr="001233FB" w:rsidRDefault="009F22CC" w:rsidP="007E1412">
            <w:pPr>
              <w:spacing w:after="0"/>
              <w:rPr>
                <w:sz w:val="20"/>
                <w:highlight w:val="cyan"/>
                <w:lang w:val="kk-KZ"/>
              </w:rPr>
            </w:pPr>
            <w:r w:rsidRPr="001233FB">
              <w:rPr>
                <w:sz w:val="20"/>
                <w:highlight w:val="cyan"/>
                <w:lang w:val="kk-KZ"/>
              </w:rPr>
              <w:t>9</w:t>
            </w:r>
          </w:p>
        </w:tc>
        <w:tc>
          <w:tcPr>
            <w:tcW w:w="709" w:type="dxa"/>
          </w:tcPr>
          <w:p w:rsidR="009F22CC" w:rsidRPr="001233FB" w:rsidRDefault="009F22CC" w:rsidP="007E1412">
            <w:pPr>
              <w:spacing w:after="0"/>
              <w:rPr>
                <w:sz w:val="20"/>
                <w:highlight w:val="cyan"/>
                <w:lang w:val="kk-KZ"/>
              </w:rPr>
            </w:pPr>
            <w:r w:rsidRPr="001233FB">
              <w:rPr>
                <w:sz w:val="20"/>
                <w:highlight w:val="cyan"/>
                <w:lang w:val="kk-KZ"/>
              </w:rPr>
              <w:t>3</w:t>
            </w:r>
          </w:p>
        </w:tc>
        <w:tc>
          <w:tcPr>
            <w:tcW w:w="708" w:type="dxa"/>
          </w:tcPr>
          <w:p w:rsidR="009F22CC" w:rsidRPr="001233FB" w:rsidRDefault="009F22CC" w:rsidP="007E1412">
            <w:pPr>
              <w:spacing w:after="0"/>
              <w:rPr>
                <w:sz w:val="20"/>
                <w:highlight w:val="cyan"/>
                <w:lang w:val="kk-KZ"/>
              </w:rPr>
            </w:pPr>
            <w:r w:rsidRPr="001233FB">
              <w:rPr>
                <w:sz w:val="20"/>
                <w:highlight w:val="cyan"/>
                <w:lang w:val="kk-KZ"/>
              </w:rPr>
              <w:t>0</w:t>
            </w:r>
          </w:p>
        </w:tc>
        <w:tc>
          <w:tcPr>
            <w:tcW w:w="993" w:type="dxa"/>
          </w:tcPr>
          <w:p w:rsidR="009F22CC" w:rsidRPr="001233FB" w:rsidRDefault="009F22CC" w:rsidP="007E1412">
            <w:pPr>
              <w:spacing w:after="0"/>
              <w:rPr>
                <w:sz w:val="20"/>
                <w:highlight w:val="cyan"/>
                <w:lang w:val="kk-KZ"/>
              </w:rPr>
            </w:pPr>
            <w:r w:rsidRPr="001233FB">
              <w:rPr>
                <w:sz w:val="20"/>
                <w:highlight w:val="cyan"/>
                <w:lang w:val="kk-KZ"/>
              </w:rPr>
              <w:t>23,5</w:t>
            </w:r>
          </w:p>
        </w:tc>
        <w:tc>
          <w:tcPr>
            <w:tcW w:w="992" w:type="dxa"/>
          </w:tcPr>
          <w:p w:rsidR="009F22CC" w:rsidRPr="00B3601E" w:rsidRDefault="009F22CC" w:rsidP="007E1412">
            <w:pPr>
              <w:spacing w:after="0"/>
              <w:rPr>
                <w:sz w:val="20"/>
                <w:highlight w:val="cyan"/>
              </w:rPr>
            </w:pPr>
            <w:r>
              <w:rPr>
                <w:sz w:val="20"/>
                <w:highlight w:val="cyan"/>
              </w:rPr>
              <w:t>83.3</w:t>
            </w:r>
          </w:p>
        </w:tc>
      </w:tr>
      <w:tr w:rsidR="009F22CC" w:rsidRPr="00B3601E" w:rsidTr="007E1412">
        <w:trPr>
          <w:trHeight w:val="316"/>
        </w:trPr>
        <w:tc>
          <w:tcPr>
            <w:tcW w:w="460" w:type="dxa"/>
          </w:tcPr>
          <w:p w:rsidR="009F22CC" w:rsidRPr="001233FB" w:rsidRDefault="009F22CC" w:rsidP="007E1412">
            <w:pPr>
              <w:spacing w:after="0" w:line="240" w:lineRule="auto"/>
              <w:rPr>
                <w:sz w:val="20"/>
                <w:highlight w:val="cyan"/>
                <w:lang w:val="kk-KZ"/>
              </w:rPr>
            </w:pPr>
            <w:r w:rsidRPr="001233FB">
              <w:rPr>
                <w:sz w:val="20"/>
                <w:highlight w:val="cyan"/>
                <w:lang w:val="kk-KZ"/>
              </w:rPr>
              <w:t>2</w:t>
            </w:r>
          </w:p>
        </w:tc>
        <w:tc>
          <w:tcPr>
            <w:tcW w:w="1418" w:type="dxa"/>
          </w:tcPr>
          <w:p w:rsidR="009F22CC" w:rsidRPr="001233FB" w:rsidRDefault="009F22CC" w:rsidP="007E1412">
            <w:pPr>
              <w:spacing w:after="0"/>
              <w:rPr>
                <w:sz w:val="20"/>
                <w:highlight w:val="cyan"/>
                <w:lang w:val="kk-KZ"/>
              </w:rPr>
            </w:pPr>
            <w:r w:rsidRPr="001233FB">
              <w:rPr>
                <w:sz w:val="20"/>
                <w:highlight w:val="cyan"/>
                <w:lang w:val="kk-KZ"/>
              </w:rPr>
              <w:t>9 «А»сыныбы</w:t>
            </w:r>
          </w:p>
        </w:tc>
        <w:tc>
          <w:tcPr>
            <w:tcW w:w="1407" w:type="dxa"/>
          </w:tcPr>
          <w:p w:rsidR="009F22CC" w:rsidRPr="001233FB" w:rsidRDefault="009F22CC" w:rsidP="007E1412">
            <w:pPr>
              <w:spacing w:after="0"/>
              <w:rPr>
                <w:sz w:val="20"/>
                <w:highlight w:val="cyan"/>
                <w:lang w:val="kk-KZ"/>
              </w:rPr>
            </w:pPr>
            <w:r w:rsidRPr="001233FB">
              <w:rPr>
                <w:sz w:val="20"/>
                <w:highlight w:val="cyan"/>
                <w:lang w:val="kk-KZ"/>
              </w:rPr>
              <w:t>25</w:t>
            </w:r>
          </w:p>
        </w:tc>
        <w:tc>
          <w:tcPr>
            <w:tcW w:w="1559" w:type="dxa"/>
          </w:tcPr>
          <w:p w:rsidR="009F22CC" w:rsidRPr="001233FB" w:rsidRDefault="009F22CC" w:rsidP="007E1412">
            <w:pPr>
              <w:spacing w:after="0"/>
              <w:rPr>
                <w:sz w:val="20"/>
                <w:highlight w:val="cyan"/>
                <w:lang w:val="kk-KZ"/>
              </w:rPr>
            </w:pPr>
            <w:r w:rsidRPr="001233FB">
              <w:rPr>
                <w:sz w:val="20"/>
                <w:highlight w:val="cyan"/>
                <w:lang w:val="kk-KZ"/>
              </w:rPr>
              <w:t>25</w:t>
            </w:r>
          </w:p>
        </w:tc>
        <w:tc>
          <w:tcPr>
            <w:tcW w:w="850" w:type="dxa"/>
          </w:tcPr>
          <w:p w:rsidR="009F22CC" w:rsidRPr="001233FB" w:rsidRDefault="009F22CC" w:rsidP="007E1412">
            <w:pPr>
              <w:spacing w:after="0"/>
              <w:rPr>
                <w:sz w:val="20"/>
                <w:highlight w:val="cyan"/>
                <w:lang w:val="kk-KZ"/>
              </w:rPr>
            </w:pPr>
            <w:r w:rsidRPr="001233FB">
              <w:rPr>
                <w:sz w:val="20"/>
                <w:highlight w:val="cyan"/>
                <w:lang w:val="kk-KZ"/>
              </w:rPr>
              <w:t>2</w:t>
            </w:r>
          </w:p>
        </w:tc>
        <w:tc>
          <w:tcPr>
            <w:tcW w:w="851" w:type="dxa"/>
          </w:tcPr>
          <w:p w:rsidR="009F22CC" w:rsidRPr="001233FB" w:rsidRDefault="009F22CC" w:rsidP="007E1412">
            <w:pPr>
              <w:spacing w:after="0"/>
              <w:rPr>
                <w:sz w:val="20"/>
                <w:highlight w:val="cyan"/>
                <w:lang w:val="kk-KZ"/>
              </w:rPr>
            </w:pPr>
            <w:r w:rsidRPr="001233FB">
              <w:rPr>
                <w:sz w:val="20"/>
                <w:highlight w:val="cyan"/>
                <w:lang w:val="kk-KZ"/>
              </w:rPr>
              <w:t>20</w:t>
            </w:r>
          </w:p>
        </w:tc>
        <w:tc>
          <w:tcPr>
            <w:tcW w:w="709" w:type="dxa"/>
          </w:tcPr>
          <w:p w:rsidR="009F22CC" w:rsidRPr="001233FB" w:rsidRDefault="009F22CC" w:rsidP="007E1412">
            <w:pPr>
              <w:spacing w:after="0"/>
              <w:rPr>
                <w:sz w:val="20"/>
                <w:highlight w:val="cyan"/>
                <w:lang w:val="kk-KZ"/>
              </w:rPr>
            </w:pPr>
            <w:r w:rsidRPr="001233FB">
              <w:rPr>
                <w:sz w:val="20"/>
                <w:highlight w:val="cyan"/>
                <w:lang w:val="kk-KZ"/>
              </w:rPr>
              <w:t>3</w:t>
            </w:r>
          </w:p>
        </w:tc>
        <w:tc>
          <w:tcPr>
            <w:tcW w:w="708" w:type="dxa"/>
          </w:tcPr>
          <w:p w:rsidR="009F22CC" w:rsidRPr="001233FB" w:rsidRDefault="009F22CC" w:rsidP="007E1412">
            <w:pPr>
              <w:spacing w:after="0"/>
              <w:rPr>
                <w:sz w:val="20"/>
                <w:highlight w:val="cyan"/>
                <w:lang w:val="kk-KZ"/>
              </w:rPr>
            </w:pPr>
            <w:r w:rsidRPr="001233FB">
              <w:rPr>
                <w:sz w:val="20"/>
                <w:highlight w:val="cyan"/>
                <w:lang w:val="kk-KZ"/>
              </w:rPr>
              <w:t>0</w:t>
            </w:r>
          </w:p>
        </w:tc>
        <w:tc>
          <w:tcPr>
            <w:tcW w:w="993" w:type="dxa"/>
          </w:tcPr>
          <w:p w:rsidR="009F22CC" w:rsidRPr="001233FB" w:rsidRDefault="009F22CC" w:rsidP="007E1412">
            <w:pPr>
              <w:spacing w:after="0"/>
              <w:rPr>
                <w:sz w:val="20"/>
                <w:highlight w:val="cyan"/>
                <w:lang w:val="kk-KZ"/>
              </w:rPr>
            </w:pPr>
            <w:r w:rsidRPr="001233FB">
              <w:rPr>
                <w:sz w:val="20"/>
                <w:highlight w:val="cyan"/>
                <w:lang w:val="kk-KZ"/>
              </w:rPr>
              <w:t>44,7</w:t>
            </w:r>
          </w:p>
        </w:tc>
        <w:tc>
          <w:tcPr>
            <w:tcW w:w="992" w:type="dxa"/>
          </w:tcPr>
          <w:p w:rsidR="009F22CC" w:rsidRPr="00B3601E" w:rsidRDefault="009F22CC" w:rsidP="007E1412">
            <w:pPr>
              <w:spacing w:after="0"/>
              <w:rPr>
                <w:sz w:val="20"/>
                <w:highlight w:val="cyan"/>
              </w:rPr>
            </w:pPr>
            <w:r>
              <w:rPr>
                <w:sz w:val="20"/>
                <w:highlight w:val="cyan"/>
              </w:rPr>
              <w:t>88</w:t>
            </w:r>
          </w:p>
        </w:tc>
      </w:tr>
      <w:tr w:rsidR="009F22CC" w:rsidRPr="00B3601E" w:rsidTr="007E1412">
        <w:trPr>
          <w:trHeight w:val="316"/>
        </w:trPr>
        <w:tc>
          <w:tcPr>
            <w:tcW w:w="460" w:type="dxa"/>
          </w:tcPr>
          <w:p w:rsidR="009F22CC" w:rsidRPr="001233FB" w:rsidRDefault="009F22CC" w:rsidP="007E1412">
            <w:pPr>
              <w:spacing w:after="0" w:line="240" w:lineRule="auto"/>
              <w:rPr>
                <w:sz w:val="20"/>
                <w:highlight w:val="cyan"/>
                <w:lang w:val="kk-KZ"/>
              </w:rPr>
            </w:pPr>
            <w:r w:rsidRPr="001233FB">
              <w:rPr>
                <w:sz w:val="20"/>
                <w:highlight w:val="cyan"/>
                <w:lang w:val="kk-KZ"/>
              </w:rPr>
              <w:t>3</w:t>
            </w:r>
          </w:p>
        </w:tc>
        <w:tc>
          <w:tcPr>
            <w:tcW w:w="1418" w:type="dxa"/>
          </w:tcPr>
          <w:p w:rsidR="009F22CC" w:rsidRPr="005D71A3" w:rsidRDefault="009F22CC" w:rsidP="007E1412">
            <w:pPr>
              <w:spacing w:after="0"/>
              <w:rPr>
                <w:sz w:val="20"/>
                <w:highlight w:val="cyan"/>
                <w:lang w:val="kk-KZ"/>
              </w:rPr>
            </w:pPr>
            <w:r w:rsidRPr="001233FB">
              <w:rPr>
                <w:sz w:val="20"/>
                <w:highlight w:val="cyan"/>
                <w:lang w:val="kk-KZ"/>
              </w:rPr>
              <w:t>9 «Ә»сыныбы</w:t>
            </w:r>
          </w:p>
        </w:tc>
        <w:tc>
          <w:tcPr>
            <w:tcW w:w="1407" w:type="dxa"/>
          </w:tcPr>
          <w:p w:rsidR="009F22CC" w:rsidRPr="001233FB" w:rsidRDefault="009F22CC" w:rsidP="007E1412">
            <w:pPr>
              <w:spacing w:after="0"/>
              <w:rPr>
                <w:sz w:val="20"/>
                <w:highlight w:val="cyan"/>
                <w:lang w:val="kk-KZ"/>
              </w:rPr>
            </w:pPr>
            <w:r w:rsidRPr="001233FB">
              <w:rPr>
                <w:sz w:val="20"/>
                <w:highlight w:val="cyan"/>
                <w:lang w:val="kk-KZ"/>
              </w:rPr>
              <w:t>7</w:t>
            </w:r>
          </w:p>
        </w:tc>
        <w:tc>
          <w:tcPr>
            <w:tcW w:w="1559" w:type="dxa"/>
          </w:tcPr>
          <w:p w:rsidR="009F22CC" w:rsidRPr="001233FB" w:rsidRDefault="009F22CC" w:rsidP="007E1412">
            <w:pPr>
              <w:spacing w:after="0"/>
              <w:rPr>
                <w:sz w:val="20"/>
                <w:highlight w:val="cyan"/>
                <w:lang w:val="kk-KZ"/>
              </w:rPr>
            </w:pPr>
            <w:r w:rsidRPr="001233FB">
              <w:rPr>
                <w:sz w:val="20"/>
                <w:highlight w:val="cyan"/>
                <w:lang w:val="kk-KZ"/>
              </w:rPr>
              <w:t>7</w:t>
            </w:r>
          </w:p>
        </w:tc>
        <w:tc>
          <w:tcPr>
            <w:tcW w:w="850" w:type="dxa"/>
          </w:tcPr>
          <w:p w:rsidR="009F22CC" w:rsidRPr="001233FB" w:rsidRDefault="009F22CC" w:rsidP="007E1412">
            <w:pPr>
              <w:spacing w:after="0"/>
              <w:rPr>
                <w:sz w:val="20"/>
                <w:highlight w:val="cyan"/>
                <w:lang w:val="kk-KZ"/>
              </w:rPr>
            </w:pPr>
            <w:r w:rsidRPr="001233FB">
              <w:rPr>
                <w:sz w:val="20"/>
                <w:highlight w:val="cyan"/>
                <w:lang w:val="kk-KZ"/>
              </w:rPr>
              <w:t>6</w:t>
            </w:r>
          </w:p>
        </w:tc>
        <w:tc>
          <w:tcPr>
            <w:tcW w:w="851" w:type="dxa"/>
          </w:tcPr>
          <w:p w:rsidR="009F22CC" w:rsidRPr="001233FB" w:rsidRDefault="009F22CC" w:rsidP="007E1412">
            <w:pPr>
              <w:spacing w:after="0"/>
              <w:rPr>
                <w:sz w:val="20"/>
                <w:highlight w:val="cyan"/>
                <w:lang w:val="kk-KZ"/>
              </w:rPr>
            </w:pPr>
            <w:r w:rsidRPr="001233FB">
              <w:rPr>
                <w:sz w:val="20"/>
                <w:highlight w:val="cyan"/>
                <w:lang w:val="kk-KZ"/>
              </w:rPr>
              <w:t>1</w:t>
            </w:r>
          </w:p>
        </w:tc>
        <w:tc>
          <w:tcPr>
            <w:tcW w:w="709" w:type="dxa"/>
          </w:tcPr>
          <w:p w:rsidR="009F22CC" w:rsidRPr="001233FB" w:rsidRDefault="009F22CC" w:rsidP="007E1412">
            <w:pPr>
              <w:spacing w:after="0"/>
              <w:rPr>
                <w:sz w:val="20"/>
                <w:highlight w:val="cyan"/>
                <w:lang w:val="kk-KZ"/>
              </w:rPr>
            </w:pPr>
            <w:r w:rsidRPr="001233FB">
              <w:rPr>
                <w:sz w:val="20"/>
                <w:highlight w:val="cyan"/>
                <w:lang w:val="kk-KZ"/>
              </w:rPr>
              <w:t>0</w:t>
            </w:r>
          </w:p>
        </w:tc>
        <w:tc>
          <w:tcPr>
            <w:tcW w:w="708" w:type="dxa"/>
          </w:tcPr>
          <w:p w:rsidR="009F22CC" w:rsidRPr="001233FB" w:rsidRDefault="009F22CC" w:rsidP="007E1412">
            <w:pPr>
              <w:spacing w:after="0"/>
              <w:rPr>
                <w:sz w:val="20"/>
                <w:highlight w:val="cyan"/>
                <w:lang w:val="kk-KZ"/>
              </w:rPr>
            </w:pPr>
            <w:r w:rsidRPr="001233FB">
              <w:rPr>
                <w:sz w:val="20"/>
                <w:highlight w:val="cyan"/>
                <w:lang w:val="kk-KZ"/>
              </w:rPr>
              <w:t>0</w:t>
            </w:r>
          </w:p>
        </w:tc>
        <w:tc>
          <w:tcPr>
            <w:tcW w:w="993" w:type="dxa"/>
          </w:tcPr>
          <w:p w:rsidR="009F22CC" w:rsidRPr="001233FB" w:rsidRDefault="009F22CC" w:rsidP="007E1412">
            <w:pPr>
              <w:spacing w:after="0"/>
              <w:rPr>
                <w:sz w:val="20"/>
                <w:highlight w:val="cyan"/>
                <w:lang w:val="kk-KZ"/>
              </w:rPr>
            </w:pPr>
            <w:r w:rsidRPr="001233FB">
              <w:rPr>
                <w:sz w:val="20"/>
                <w:highlight w:val="cyan"/>
                <w:lang w:val="kk-KZ"/>
              </w:rPr>
              <w:t>51,8</w:t>
            </w:r>
          </w:p>
        </w:tc>
        <w:tc>
          <w:tcPr>
            <w:tcW w:w="992" w:type="dxa"/>
          </w:tcPr>
          <w:p w:rsidR="009F22CC" w:rsidRPr="001233FB" w:rsidRDefault="009F22CC" w:rsidP="007E1412">
            <w:pPr>
              <w:spacing w:after="0"/>
              <w:rPr>
                <w:sz w:val="20"/>
                <w:highlight w:val="cyan"/>
                <w:lang w:val="kk-KZ"/>
              </w:rPr>
            </w:pPr>
            <w:r w:rsidRPr="001233FB">
              <w:rPr>
                <w:sz w:val="20"/>
                <w:highlight w:val="cyan"/>
                <w:lang w:val="kk-KZ"/>
              </w:rPr>
              <w:t>100</w:t>
            </w:r>
          </w:p>
        </w:tc>
      </w:tr>
      <w:tr w:rsidR="009F22CC" w:rsidRPr="00B3601E" w:rsidTr="007E1412">
        <w:trPr>
          <w:trHeight w:val="316"/>
        </w:trPr>
        <w:tc>
          <w:tcPr>
            <w:tcW w:w="1878" w:type="dxa"/>
            <w:gridSpan w:val="2"/>
          </w:tcPr>
          <w:p w:rsidR="009F22CC" w:rsidRPr="001233FB" w:rsidRDefault="009F22CC" w:rsidP="007E1412">
            <w:pPr>
              <w:spacing w:after="0"/>
              <w:rPr>
                <w:highlight w:val="cyan"/>
                <w:lang w:val="kk-KZ"/>
              </w:rPr>
            </w:pPr>
            <w:r w:rsidRPr="001233FB">
              <w:rPr>
                <w:highlight w:val="cyan"/>
                <w:lang w:val="kk-KZ"/>
              </w:rPr>
              <w:t>Мектеп бойынша</w:t>
            </w:r>
          </w:p>
        </w:tc>
        <w:tc>
          <w:tcPr>
            <w:tcW w:w="1407" w:type="dxa"/>
          </w:tcPr>
          <w:p w:rsidR="009F22CC" w:rsidRPr="001233FB" w:rsidRDefault="009F22CC" w:rsidP="007E1412">
            <w:pPr>
              <w:spacing w:after="0"/>
              <w:rPr>
                <w:highlight w:val="cyan"/>
                <w:lang w:val="kk-KZ"/>
              </w:rPr>
            </w:pPr>
            <w:r w:rsidRPr="001233FB">
              <w:rPr>
                <w:highlight w:val="cyan"/>
                <w:lang w:val="kk-KZ"/>
              </w:rPr>
              <w:t>51</w:t>
            </w:r>
          </w:p>
        </w:tc>
        <w:tc>
          <w:tcPr>
            <w:tcW w:w="1559" w:type="dxa"/>
          </w:tcPr>
          <w:p w:rsidR="009F22CC" w:rsidRPr="001233FB" w:rsidRDefault="009F22CC" w:rsidP="007E1412">
            <w:pPr>
              <w:spacing w:after="0"/>
              <w:rPr>
                <w:highlight w:val="cyan"/>
                <w:lang w:val="kk-KZ"/>
              </w:rPr>
            </w:pPr>
            <w:r w:rsidRPr="001233FB">
              <w:rPr>
                <w:highlight w:val="cyan"/>
                <w:lang w:val="kk-KZ"/>
              </w:rPr>
              <w:t>50</w:t>
            </w:r>
          </w:p>
        </w:tc>
        <w:tc>
          <w:tcPr>
            <w:tcW w:w="850" w:type="dxa"/>
          </w:tcPr>
          <w:p w:rsidR="009F22CC" w:rsidRPr="001233FB" w:rsidRDefault="009F22CC" w:rsidP="007E1412">
            <w:pPr>
              <w:spacing w:after="0"/>
              <w:rPr>
                <w:highlight w:val="cyan"/>
                <w:lang w:val="kk-KZ"/>
              </w:rPr>
            </w:pPr>
            <w:r w:rsidRPr="001233FB">
              <w:rPr>
                <w:highlight w:val="cyan"/>
                <w:lang w:val="kk-KZ"/>
              </w:rPr>
              <w:t>14</w:t>
            </w:r>
          </w:p>
        </w:tc>
        <w:tc>
          <w:tcPr>
            <w:tcW w:w="851" w:type="dxa"/>
          </w:tcPr>
          <w:p w:rsidR="009F22CC" w:rsidRPr="001233FB" w:rsidRDefault="009F22CC" w:rsidP="007E1412">
            <w:pPr>
              <w:spacing w:after="0"/>
              <w:rPr>
                <w:highlight w:val="cyan"/>
                <w:lang w:val="kk-KZ"/>
              </w:rPr>
            </w:pPr>
            <w:r w:rsidRPr="001233FB">
              <w:rPr>
                <w:highlight w:val="cyan"/>
                <w:lang w:val="kk-KZ"/>
              </w:rPr>
              <w:t>30</w:t>
            </w:r>
          </w:p>
        </w:tc>
        <w:tc>
          <w:tcPr>
            <w:tcW w:w="709" w:type="dxa"/>
          </w:tcPr>
          <w:p w:rsidR="009F22CC" w:rsidRPr="001233FB" w:rsidRDefault="009F22CC" w:rsidP="007E1412">
            <w:pPr>
              <w:spacing w:after="0"/>
              <w:rPr>
                <w:highlight w:val="cyan"/>
                <w:lang w:val="kk-KZ"/>
              </w:rPr>
            </w:pPr>
            <w:r w:rsidRPr="001233FB">
              <w:rPr>
                <w:highlight w:val="cyan"/>
                <w:lang w:val="kk-KZ"/>
              </w:rPr>
              <w:t>6</w:t>
            </w:r>
          </w:p>
        </w:tc>
        <w:tc>
          <w:tcPr>
            <w:tcW w:w="708" w:type="dxa"/>
          </w:tcPr>
          <w:p w:rsidR="009F22CC" w:rsidRPr="001233FB" w:rsidRDefault="009F22CC" w:rsidP="007E1412">
            <w:pPr>
              <w:spacing w:after="0"/>
              <w:rPr>
                <w:highlight w:val="cyan"/>
                <w:lang w:val="kk-KZ"/>
              </w:rPr>
            </w:pPr>
            <w:r w:rsidRPr="001233FB">
              <w:rPr>
                <w:highlight w:val="cyan"/>
                <w:lang w:val="kk-KZ"/>
              </w:rPr>
              <w:t>0</w:t>
            </w:r>
          </w:p>
        </w:tc>
        <w:tc>
          <w:tcPr>
            <w:tcW w:w="993" w:type="dxa"/>
          </w:tcPr>
          <w:p w:rsidR="009F22CC" w:rsidRPr="001233FB" w:rsidRDefault="009F22CC" w:rsidP="007E1412">
            <w:pPr>
              <w:spacing w:after="0"/>
              <w:rPr>
                <w:highlight w:val="cyan"/>
                <w:lang w:val="kk-KZ"/>
              </w:rPr>
            </w:pPr>
            <w:r w:rsidRPr="001233FB">
              <w:rPr>
                <w:highlight w:val="cyan"/>
                <w:lang w:val="kk-KZ"/>
              </w:rPr>
              <w:t>40</w:t>
            </w:r>
          </w:p>
        </w:tc>
        <w:tc>
          <w:tcPr>
            <w:tcW w:w="992" w:type="dxa"/>
          </w:tcPr>
          <w:p w:rsidR="009F22CC" w:rsidRPr="00B3601E" w:rsidRDefault="009F22CC" w:rsidP="007E1412">
            <w:pPr>
              <w:spacing w:after="0"/>
              <w:rPr>
                <w:highlight w:val="cyan"/>
              </w:rPr>
            </w:pPr>
            <w:r>
              <w:rPr>
                <w:highlight w:val="cyan"/>
              </w:rPr>
              <w:t>88</w:t>
            </w:r>
          </w:p>
        </w:tc>
      </w:tr>
    </w:tbl>
    <w:p w:rsidR="009F22CC" w:rsidRPr="00FC3CB8" w:rsidRDefault="009F22CC" w:rsidP="009F22CC">
      <w:pPr>
        <w:pStyle w:val="a7"/>
        <w:ind w:right="851" w:firstLine="706"/>
        <w:rPr>
          <w:lang w:val="kk-KZ"/>
        </w:rPr>
      </w:pPr>
      <w:r w:rsidRPr="001233FB">
        <w:rPr>
          <w:sz w:val="22"/>
          <w:szCs w:val="22"/>
          <w:highlight w:val="cyan"/>
          <w:lang w:val="kk-KZ"/>
        </w:rPr>
        <w:t xml:space="preserve">Жоғарыда көрсетілген кестеде 4,9-сынып оқушыларының тестілеу нәтижесі  «5» баға алған оқушылар саны:14 оқушы, «4» баға алған оқушылар саны:30 оқушы, «3» баға алған оқушылар саны:6 оқушы, «2» баға алған оқушылар жоқ. Мектеп бойынша орташа балл 40 балды көрсетсе,оң бағалар нәтижесі </w:t>
      </w:r>
      <w:r w:rsidRPr="009F22CC">
        <w:rPr>
          <w:sz w:val="22"/>
          <w:szCs w:val="22"/>
          <w:highlight w:val="cyan"/>
          <w:lang w:val="kk-KZ"/>
        </w:rPr>
        <w:t>88</w:t>
      </w:r>
      <w:r>
        <w:rPr>
          <w:sz w:val="22"/>
          <w:szCs w:val="22"/>
          <w:highlight w:val="cyan"/>
          <w:lang w:val="kk-KZ"/>
        </w:rPr>
        <w:t xml:space="preserve"> пайыз</w:t>
      </w:r>
      <w:r w:rsidRPr="00FC3CB8">
        <w:rPr>
          <w:sz w:val="22"/>
          <w:szCs w:val="22"/>
          <w:highlight w:val="cyan"/>
          <w:lang w:val="kk-KZ"/>
        </w:rPr>
        <w:t>.</w:t>
      </w:r>
      <w:r w:rsidRPr="00FC3CB8">
        <w:rPr>
          <w:highlight w:val="cyan"/>
          <w:lang w:val="kk-KZ"/>
        </w:rPr>
        <w:t xml:space="preserve"> Қазақстан Республикасы Оқу-ағарту министрінің 2022 жылғы 3 тамыздағы № 348 бұйрығымен бекітілген «Негізгі орта білім берудің мемлекеттік</w:t>
      </w:r>
      <w:r w:rsidRPr="00FC3CB8">
        <w:rPr>
          <w:spacing w:val="-9"/>
          <w:highlight w:val="cyan"/>
          <w:lang w:val="kk-KZ"/>
        </w:rPr>
        <w:t xml:space="preserve"> </w:t>
      </w:r>
      <w:r w:rsidRPr="00FC3CB8">
        <w:rPr>
          <w:highlight w:val="cyan"/>
          <w:lang w:val="kk-KZ"/>
        </w:rPr>
        <w:t>жалпыға</w:t>
      </w:r>
      <w:r w:rsidRPr="00FC3CB8">
        <w:rPr>
          <w:spacing w:val="-8"/>
          <w:highlight w:val="cyan"/>
          <w:lang w:val="kk-KZ"/>
        </w:rPr>
        <w:t xml:space="preserve"> </w:t>
      </w:r>
      <w:r w:rsidRPr="00FC3CB8">
        <w:rPr>
          <w:highlight w:val="cyan"/>
          <w:lang w:val="kk-KZ"/>
        </w:rPr>
        <w:t>міндетті</w:t>
      </w:r>
      <w:r w:rsidRPr="00FC3CB8">
        <w:rPr>
          <w:spacing w:val="-14"/>
          <w:highlight w:val="cyan"/>
          <w:lang w:val="kk-KZ"/>
        </w:rPr>
        <w:t xml:space="preserve"> </w:t>
      </w:r>
      <w:r w:rsidRPr="00FC3CB8">
        <w:rPr>
          <w:highlight w:val="cyan"/>
          <w:lang w:val="kk-KZ"/>
        </w:rPr>
        <w:t>стандартының»</w:t>
      </w:r>
      <w:r w:rsidRPr="00FC3CB8">
        <w:rPr>
          <w:spacing w:val="-13"/>
          <w:highlight w:val="cyan"/>
          <w:lang w:val="kk-KZ"/>
        </w:rPr>
        <w:t xml:space="preserve"> </w:t>
      </w:r>
      <w:r w:rsidRPr="00FC3CB8">
        <w:rPr>
          <w:highlight w:val="cyan"/>
          <w:lang w:val="kk-KZ"/>
        </w:rPr>
        <w:t>(3</w:t>
      </w:r>
      <w:r w:rsidRPr="00FC3CB8">
        <w:rPr>
          <w:spacing w:val="-8"/>
          <w:highlight w:val="cyan"/>
          <w:lang w:val="kk-KZ"/>
        </w:rPr>
        <w:t xml:space="preserve"> </w:t>
      </w:r>
      <w:r w:rsidRPr="00FC3CB8">
        <w:rPr>
          <w:highlight w:val="cyan"/>
          <w:lang w:val="kk-KZ"/>
        </w:rPr>
        <w:t>қосымшасы)</w:t>
      </w:r>
      <w:r w:rsidRPr="00FC3CB8">
        <w:rPr>
          <w:spacing w:val="-10"/>
          <w:highlight w:val="cyan"/>
          <w:lang w:val="kk-KZ"/>
        </w:rPr>
        <w:t xml:space="preserve"> </w:t>
      </w:r>
      <w:r w:rsidRPr="00FC3CB8">
        <w:rPr>
          <w:highlight w:val="cyan"/>
          <w:lang w:val="kk-KZ"/>
        </w:rPr>
        <w:t>4</w:t>
      </w:r>
      <w:r w:rsidRPr="00FC3CB8">
        <w:rPr>
          <w:spacing w:val="-8"/>
          <w:highlight w:val="cyan"/>
          <w:lang w:val="kk-KZ"/>
        </w:rPr>
        <w:t xml:space="preserve"> </w:t>
      </w:r>
      <w:r w:rsidRPr="00FC3CB8">
        <w:rPr>
          <w:highlight w:val="cyan"/>
          <w:lang w:val="kk-KZ"/>
        </w:rPr>
        <w:t>тарауға</w:t>
      </w:r>
      <w:r w:rsidRPr="00FC3CB8">
        <w:rPr>
          <w:spacing w:val="40"/>
          <w:highlight w:val="cyan"/>
          <w:lang w:val="kk-KZ"/>
        </w:rPr>
        <w:t xml:space="preserve"> </w:t>
      </w:r>
      <w:r w:rsidRPr="00FC3CB8">
        <w:rPr>
          <w:highlight w:val="cyan"/>
          <w:lang w:val="kk-KZ"/>
        </w:rPr>
        <w:t xml:space="preserve">сәйкес </w:t>
      </w:r>
      <w:r w:rsidRPr="00FC3CB8">
        <w:rPr>
          <w:spacing w:val="-2"/>
          <w:highlight w:val="cyan"/>
          <w:lang w:val="kk-KZ"/>
        </w:rPr>
        <w:t>келеді.</w:t>
      </w:r>
    </w:p>
    <w:p w:rsidR="009F22CC" w:rsidRPr="001233FB" w:rsidRDefault="009F22CC" w:rsidP="009F22CC">
      <w:pPr>
        <w:pStyle w:val="a5"/>
        <w:tabs>
          <w:tab w:val="left" w:pos="851"/>
          <w:tab w:val="left" w:pos="993"/>
        </w:tabs>
        <w:rPr>
          <w:szCs w:val="28"/>
          <w:highlight w:val="cyan"/>
          <w:lang w:val="kk-KZ"/>
        </w:rPr>
      </w:pPr>
      <w:r w:rsidRPr="001233FB">
        <w:rPr>
          <w:szCs w:val="28"/>
          <w:highlight w:val="cyan"/>
          <w:lang w:val="kk-KZ"/>
        </w:rPr>
        <w:t>«Ақмола облысы білім басқармасының Зеренді ауданы бойынша білім бөлімі Зеренді</w:t>
      </w:r>
      <w:r w:rsidRPr="001233FB">
        <w:rPr>
          <w:bCs/>
          <w:szCs w:val="28"/>
          <w:highlight w:val="cyan"/>
          <w:lang w:val="kk-KZ"/>
        </w:rPr>
        <w:t xml:space="preserve"> ауылының Мәлік Ғабдуллин атындағы</w:t>
      </w:r>
      <w:r w:rsidRPr="001233FB">
        <w:rPr>
          <w:szCs w:val="28"/>
          <w:highlight w:val="cyan"/>
          <w:lang w:val="kk-KZ"/>
        </w:rPr>
        <w:t xml:space="preserve"> </w:t>
      </w:r>
      <w:r w:rsidRPr="001233FB">
        <w:rPr>
          <w:bCs/>
          <w:szCs w:val="28"/>
          <w:highlight w:val="cyan"/>
          <w:lang w:val="kk-KZ"/>
        </w:rPr>
        <w:t>мектеп-гимназиясы» коммуналдық мемлекеттік мекемесінің</w:t>
      </w:r>
    </w:p>
    <w:p w:rsidR="009F22CC" w:rsidRPr="001233FB" w:rsidRDefault="009F22CC" w:rsidP="009F22CC">
      <w:pPr>
        <w:spacing w:after="0" w:line="240" w:lineRule="auto"/>
        <w:rPr>
          <w:highlight w:val="cyan"/>
          <w:lang w:val="kk-KZ"/>
        </w:rPr>
      </w:pPr>
      <w:r w:rsidRPr="001233FB">
        <w:rPr>
          <w:bCs/>
          <w:szCs w:val="28"/>
          <w:highlight w:val="cyan"/>
          <w:lang w:val="kk-KZ"/>
        </w:rPr>
        <w:t xml:space="preserve">2024-2025 оқу жылы бітіру сыныптарының тестілеу нәтижесі мектеп сайтының «Білім беру ұйымдарын бағалау.Аттестация 2024-2025» бөлімінде </w:t>
      </w:r>
      <w:r w:rsidRPr="001233FB">
        <w:rPr>
          <w:highlight w:val="cyan"/>
          <w:lang w:val="kk-KZ"/>
        </w:rPr>
        <w:t>Әдістемелік ұсынымдарға 13-қосымшасына салынып жүктелді.Сілтемесі төменде берілді.</w:t>
      </w:r>
    </w:p>
    <w:p w:rsidR="009F22CC" w:rsidRDefault="009F22CC" w:rsidP="009F22CC">
      <w:hyperlink r:id="rId4" w:history="1">
        <w:r w:rsidRPr="001233FB">
          <w:rPr>
            <w:rStyle w:val="a3"/>
            <w:rFonts w:ascii="Noto Serif" w:hAnsi="Noto Serif" w:cs="Noto Serif"/>
            <w:color w:val="2A6496"/>
            <w:highlight w:val="cyan"/>
            <w:shd w:val="clear" w:color="auto" w:fill="FFFFFF"/>
          </w:rPr>
          <w:t>/public/files/2025/3/14/140325_111627_dstemelk-synymdara-13-osymsha.pdf</w:t>
        </w:r>
      </w:hyperlink>
      <w:bookmarkStart w:id="0" w:name="_GoBack"/>
      <w:bookmarkEnd w:id="0"/>
    </w:p>
    <w:sectPr w:rsidR="009F22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Noto Serif">
    <w:altName w:val="Segoe Print"/>
    <w:charset w:val="00"/>
    <w:family w:val="roman"/>
    <w:pitch w:val="variable"/>
    <w:sig w:usb0="E00002FF" w:usb1="500078FF" w:usb2="08000029"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CC"/>
    <w:rsid w:val="009F2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85B0"/>
  <w15:chartTrackingRefBased/>
  <w15:docId w15:val="{C48CE00E-865C-4AAF-BFBF-F7AF86935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22CC"/>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2CC"/>
    <w:rPr>
      <w:color w:val="0000FF"/>
      <w:u w:val="single"/>
    </w:rPr>
  </w:style>
  <w:style w:type="character" w:customStyle="1" w:styleId="a4">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5"/>
    <w:uiPriority w:val="99"/>
    <w:qFormat/>
    <w:locked/>
    <w:rsid w:val="009F22CC"/>
    <w:rPr>
      <w:rFonts w:ascii="Times New Roman" w:eastAsia="Times New Roman" w:hAnsi="Times New Roman" w:cs="Times New Roman"/>
      <w:sz w:val="24"/>
      <w:szCs w:val="24"/>
      <w:lang w:eastAsia="ru-RU"/>
    </w:rPr>
  </w:style>
  <w:style w:type="paragraph" w:styleId="a5">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link w:val="a4"/>
    <w:uiPriority w:val="99"/>
    <w:unhideWhenUsed/>
    <w:qFormat/>
    <w:rsid w:val="009F22CC"/>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7"/>
    <w:locked/>
    <w:rsid w:val="009F22CC"/>
    <w:rPr>
      <w:rFonts w:ascii="Times New Roman" w:eastAsia="Times New Roman" w:hAnsi="Times New Roman" w:cs="Times New Roman"/>
      <w:kern w:val="2"/>
      <w:sz w:val="24"/>
      <w:szCs w:val="24"/>
      <w:lang w:eastAsia="ar-SA"/>
    </w:rPr>
  </w:style>
  <w:style w:type="paragraph" w:styleId="a7">
    <w:name w:val="Body Text"/>
    <w:basedOn w:val="a"/>
    <w:link w:val="a6"/>
    <w:unhideWhenUsed/>
    <w:rsid w:val="009F22CC"/>
    <w:pPr>
      <w:suppressAutoHyphens/>
      <w:spacing w:after="120" w:line="240" w:lineRule="auto"/>
    </w:pPr>
    <w:rPr>
      <w:kern w:val="2"/>
      <w:sz w:val="24"/>
      <w:szCs w:val="24"/>
      <w:lang w:val="ru-RU" w:eastAsia="ar-SA"/>
    </w:rPr>
  </w:style>
  <w:style w:type="character" w:customStyle="1" w:styleId="1">
    <w:name w:val="Основной текст Знак1"/>
    <w:basedOn w:val="a0"/>
    <w:uiPriority w:val="99"/>
    <w:semiHidden/>
    <w:rsid w:val="009F22CC"/>
    <w:rPr>
      <w:rFonts w:ascii="Times New Roman" w:eastAsia="Times New Roman" w:hAnsi="Times New Roman" w:cs="Times New Roman"/>
      <w:lang w:val="en-US"/>
    </w:rPr>
  </w:style>
  <w:style w:type="table" w:styleId="a8">
    <w:name w:val="Table Grid"/>
    <w:basedOn w:val="a1"/>
    <w:uiPriority w:val="39"/>
    <w:qFormat/>
    <w:rsid w:val="009F22C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0015.zerenda.aqmoedu.kz/public/files/2025/3/14/140325_111627_dstemelk-synymdara-13-osymsha.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2347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2025-03-20T03:59:00Z</dcterms:created>
  <dcterms:modified xsi:type="dcterms:W3CDTF">2025-03-20T04:01:00Z</dcterms:modified>
</cp:coreProperties>
</file>